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AA7" w14:textId="4D251F61" w:rsidR="002D33CC" w:rsidRPr="006F123B" w:rsidRDefault="00732B49" w:rsidP="002A0BAD">
      <w:pPr>
        <w:spacing w:after="240" w:line="240" w:lineRule="auto"/>
        <w:rPr>
          <w:rFonts w:ascii="Arial" w:hAnsi="Arial" w:cs="Arial"/>
          <w:b/>
          <w:bCs/>
        </w:rPr>
      </w:pPr>
      <w:r w:rsidRPr="006F123B">
        <w:rPr>
          <w:rFonts w:ascii="Arial" w:hAnsi="Arial" w:cs="Arial"/>
          <w:b/>
          <w:bCs/>
        </w:rPr>
        <w:t>Account</w:t>
      </w:r>
      <w:r w:rsidR="006F123B">
        <w:rPr>
          <w:rFonts w:ascii="Arial" w:hAnsi="Arial" w:cs="Arial"/>
          <w:b/>
          <w:bCs/>
        </w:rPr>
        <w:t xml:space="preserve">ing </w:t>
      </w:r>
      <w:r w:rsidR="00CD6D62">
        <w:rPr>
          <w:rFonts w:ascii="Arial" w:hAnsi="Arial" w:cs="Arial"/>
          <w:b/>
          <w:bCs/>
        </w:rPr>
        <w:t>Assistant</w:t>
      </w:r>
    </w:p>
    <w:p w14:paraId="6E4C2B0A" w14:textId="288675D9"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City</w:t>
      </w:r>
    </w:p>
    <w:p w14:paraId="7B1C00B6" w14:textId="480A15A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Wabasha</w:t>
      </w:r>
    </w:p>
    <w:p w14:paraId="7C543D79"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State</w:t>
      </w:r>
    </w:p>
    <w:p w14:paraId="46C758CC"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Minnesota</w:t>
      </w:r>
    </w:p>
    <w:p w14:paraId="68A65E1A"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Telecommute</w:t>
      </w:r>
    </w:p>
    <w:p w14:paraId="5174FD09"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No</w:t>
      </w:r>
    </w:p>
    <w:p w14:paraId="101C2A33"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Department</w:t>
      </w:r>
    </w:p>
    <w:p w14:paraId="238B9788" w14:textId="0582BC39" w:rsidR="002A0BAD" w:rsidRPr="006F123B" w:rsidRDefault="008B4B6C" w:rsidP="002A0BAD">
      <w:pPr>
        <w:spacing w:after="240" w:line="240" w:lineRule="auto"/>
        <w:rPr>
          <w:rFonts w:ascii="Arial" w:eastAsia="Times New Roman" w:hAnsi="Arial" w:cs="Arial"/>
        </w:rPr>
      </w:pPr>
      <w:r w:rsidRPr="006F123B">
        <w:rPr>
          <w:rFonts w:ascii="Arial" w:eastAsia="Times New Roman" w:hAnsi="Arial" w:cs="Arial"/>
        </w:rPr>
        <w:t>Finance</w:t>
      </w:r>
    </w:p>
    <w:p w14:paraId="3D410E4E"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Position description</w:t>
      </w:r>
    </w:p>
    <w:p w14:paraId="576DCBAD" w14:textId="2EC71887" w:rsidR="008B4B6C" w:rsidRPr="009A060C" w:rsidRDefault="009A060C" w:rsidP="009A060C">
      <w:pPr>
        <w:spacing w:after="360" w:line="240" w:lineRule="auto"/>
        <w:jc w:val="both"/>
        <w:rPr>
          <w:rFonts w:ascii="Arial" w:eastAsia="Times New Roman" w:hAnsi="Arial" w:cs="Arial"/>
          <w:color w:val="2B2B2B"/>
          <w:sz w:val="23"/>
          <w:szCs w:val="23"/>
        </w:rPr>
      </w:pPr>
      <w:bookmarkStart w:id="0" w:name="_Hlk536267297"/>
      <w:r w:rsidRPr="00441D91">
        <w:rPr>
          <w:rFonts w:ascii="Arial" w:eastAsia="Times New Roman" w:hAnsi="Arial" w:cs="Arial"/>
          <w:color w:val="2B2B2B"/>
          <w:sz w:val="23"/>
          <w:szCs w:val="23"/>
        </w:rPr>
        <w:t xml:space="preserve">The Southeastern Minnesota Multi-County Housing &amp; Redevelopment Authority (SEMMCHRA) has a full-time Accounting Assistant position available.  </w:t>
      </w:r>
      <w:r w:rsidRPr="00441D91">
        <w:rPr>
          <w:rFonts w:ascii="Arial" w:hAnsi="Arial" w:cs="Arial"/>
          <w:color w:val="2D2D2D"/>
          <w:sz w:val="23"/>
          <w:szCs w:val="23"/>
          <w:shd w:val="clear" w:color="auto" w:fill="FFFFFF"/>
        </w:rPr>
        <w:t>This position provides bookkeeping and clerical services including</w:t>
      </w:r>
      <w:r w:rsidRPr="00441D91">
        <w:rPr>
          <w:rFonts w:ascii="Arial" w:eastAsia="Times New Roman" w:hAnsi="Arial" w:cs="Arial"/>
          <w:sz w:val="23"/>
          <w:szCs w:val="23"/>
        </w:rPr>
        <w:t xml:space="preserve"> </w:t>
      </w:r>
      <w:r w:rsidRPr="00441D91">
        <w:rPr>
          <w:rFonts w:ascii="Arial" w:hAnsi="Arial" w:cs="Arial"/>
          <w:sz w:val="23"/>
          <w:szCs w:val="23"/>
        </w:rPr>
        <w:t xml:space="preserve">AR/AP, general ledger entries, performing </w:t>
      </w:r>
      <w:r w:rsidRPr="00441D91">
        <w:rPr>
          <w:rFonts w:ascii="Arial" w:hAnsi="Arial" w:cs="Arial"/>
          <w:color w:val="2D2D2D"/>
          <w:sz w:val="23"/>
          <w:szCs w:val="23"/>
        </w:rPr>
        <w:t xml:space="preserve">account reconciliations, </w:t>
      </w:r>
      <w:r w:rsidRPr="00441D91">
        <w:rPr>
          <w:rFonts w:ascii="Arial" w:eastAsia="Times New Roman" w:hAnsi="Arial" w:cs="Arial"/>
          <w:sz w:val="23"/>
          <w:szCs w:val="23"/>
        </w:rPr>
        <w:t>creating and maintaining spreadsheets</w:t>
      </w:r>
      <w:r w:rsidRPr="00441D91">
        <w:rPr>
          <w:rFonts w:ascii="Arial" w:hAnsi="Arial" w:cs="Arial"/>
          <w:sz w:val="23"/>
          <w:szCs w:val="23"/>
        </w:rPr>
        <w:t xml:space="preserve">, </w:t>
      </w:r>
      <w:r w:rsidRPr="00441D91">
        <w:rPr>
          <w:rFonts w:ascii="Arial" w:hAnsi="Arial" w:cs="Arial"/>
          <w:color w:val="2D2D2D"/>
          <w:sz w:val="23"/>
          <w:szCs w:val="23"/>
        </w:rPr>
        <w:t>a</w:t>
      </w:r>
      <w:r w:rsidRPr="00441D91">
        <w:rPr>
          <w:rFonts w:ascii="Arial" w:hAnsi="Arial" w:cs="Arial"/>
          <w:sz w:val="23"/>
          <w:szCs w:val="23"/>
        </w:rPr>
        <w:t xml:space="preserve">nd assisting the Accountant in the operations of the department.  </w:t>
      </w:r>
      <w:r w:rsidRPr="00441D91">
        <w:rPr>
          <w:rFonts w:ascii="Arial" w:eastAsia="Times New Roman" w:hAnsi="Arial" w:cs="Arial"/>
          <w:color w:val="2B2B2B"/>
          <w:sz w:val="23"/>
          <w:szCs w:val="23"/>
        </w:rPr>
        <w:t xml:space="preserve">Candidate must have strong </w:t>
      </w:r>
      <w:r w:rsidRPr="00441D91">
        <w:rPr>
          <w:rFonts w:ascii="Arial" w:eastAsia="Times New Roman" w:hAnsi="Arial" w:cs="Arial"/>
          <w:sz w:val="23"/>
          <w:szCs w:val="23"/>
        </w:rPr>
        <w:t xml:space="preserve">problem-solving skills, ability to prioritize and organize workload, </w:t>
      </w:r>
      <w:r w:rsidRPr="00441D91">
        <w:rPr>
          <w:rFonts w:ascii="Arial" w:eastAsia="Times New Roman" w:hAnsi="Arial" w:cs="Arial"/>
          <w:color w:val="2B2B2B"/>
          <w:sz w:val="23"/>
          <w:szCs w:val="23"/>
        </w:rPr>
        <w:t>have high regard to attention to detail, and strong data entry skills.</w:t>
      </w:r>
    </w:p>
    <w:bookmarkEnd w:id="0"/>
    <w:p w14:paraId="2634AEEE"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Qualifications</w:t>
      </w:r>
    </w:p>
    <w:p w14:paraId="40197F4A" w14:textId="77777777" w:rsidR="008B4B6C"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 xml:space="preserve">Minimum Education: </w:t>
      </w:r>
    </w:p>
    <w:p w14:paraId="50AF3F6A" w14:textId="77777777" w:rsidR="008425E9" w:rsidRDefault="00132679" w:rsidP="008C55D8">
      <w:pPr>
        <w:pStyle w:val="ListParagraph"/>
        <w:numPr>
          <w:ilvl w:val="0"/>
          <w:numId w:val="8"/>
        </w:numPr>
        <w:spacing w:after="240" w:line="240" w:lineRule="auto"/>
        <w:rPr>
          <w:rFonts w:ascii="Arial" w:eastAsia="Times New Roman" w:hAnsi="Arial" w:cs="Arial"/>
        </w:rPr>
      </w:pPr>
      <w:r w:rsidRPr="006F123B">
        <w:rPr>
          <w:rFonts w:ascii="Arial" w:eastAsia="Times New Roman" w:hAnsi="Arial" w:cs="Arial"/>
        </w:rPr>
        <w:t>Associates Degree in Accounting</w:t>
      </w:r>
      <w:r w:rsidR="008C55D8">
        <w:rPr>
          <w:rFonts w:ascii="Arial" w:eastAsia="Times New Roman" w:hAnsi="Arial" w:cs="Arial"/>
        </w:rPr>
        <w:t xml:space="preserve">, </w:t>
      </w:r>
    </w:p>
    <w:p w14:paraId="0BF9638D" w14:textId="41693805" w:rsidR="004D3CAB" w:rsidRPr="008C55D8" w:rsidRDefault="002D48EE" w:rsidP="008C55D8">
      <w:pPr>
        <w:pStyle w:val="ListParagraph"/>
        <w:numPr>
          <w:ilvl w:val="0"/>
          <w:numId w:val="8"/>
        </w:numPr>
        <w:spacing w:after="240" w:line="240" w:lineRule="auto"/>
        <w:rPr>
          <w:rFonts w:ascii="Arial" w:eastAsia="Times New Roman" w:hAnsi="Arial" w:cs="Arial"/>
        </w:rPr>
      </w:pPr>
      <w:r w:rsidRPr="008C55D8">
        <w:rPr>
          <w:rFonts w:ascii="Arial" w:eastAsia="Times New Roman" w:hAnsi="Arial" w:cs="Arial"/>
        </w:rPr>
        <w:t>2</w:t>
      </w:r>
      <w:r w:rsidR="004D3CAB" w:rsidRPr="008C55D8">
        <w:rPr>
          <w:rFonts w:ascii="Arial" w:eastAsia="Times New Roman" w:hAnsi="Arial" w:cs="Arial"/>
        </w:rPr>
        <w:t xml:space="preserve"> years of relevant experience may be substituted for education requirements.  </w:t>
      </w:r>
    </w:p>
    <w:p w14:paraId="406F743C" w14:textId="77777777" w:rsidR="008C55D8" w:rsidRDefault="002A0BAD" w:rsidP="008C55D8">
      <w:pPr>
        <w:spacing w:after="240" w:line="240" w:lineRule="auto"/>
        <w:rPr>
          <w:rFonts w:ascii="Arial" w:eastAsia="Times New Roman" w:hAnsi="Arial" w:cs="Arial"/>
        </w:rPr>
      </w:pPr>
      <w:r w:rsidRPr="006F123B">
        <w:rPr>
          <w:rFonts w:ascii="Arial" w:eastAsia="Times New Roman" w:hAnsi="Arial" w:cs="Arial"/>
        </w:rPr>
        <w:t>Additional Requirements include:</w:t>
      </w:r>
    </w:p>
    <w:p w14:paraId="286247A3" w14:textId="18A53BCC" w:rsidR="00AE1F94" w:rsidRPr="006F123B" w:rsidRDefault="00AE1F94" w:rsidP="00BB1DAF">
      <w:pPr>
        <w:pStyle w:val="ListParagraph"/>
        <w:numPr>
          <w:ilvl w:val="0"/>
          <w:numId w:val="3"/>
        </w:numPr>
        <w:spacing w:after="240" w:line="240" w:lineRule="auto"/>
        <w:rPr>
          <w:rFonts w:ascii="Arial" w:eastAsia="Times New Roman" w:hAnsi="Arial" w:cs="Arial"/>
        </w:rPr>
      </w:pPr>
      <w:r w:rsidRPr="006F123B">
        <w:rPr>
          <w:rFonts w:ascii="Arial" w:hAnsi="Arial" w:cs="Arial"/>
        </w:rPr>
        <w:t xml:space="preserve">Must be able to pass </w:t>
      </w:r>
      <w:r w:rsidR="006103E0">
        <w:rPr>
          <w:rFonts w:ascii="Arial" w:hAnsi="Arial" w:cs="Arial"/>
        </w:rPr>
        <w:t xml:space="preserve">a </w:t>
      </w:r>
      <w:r w:rsidRPr="006F123B">
        <w:rPr>
          <w:rFonts w:ascii="Arial" w:hAnsi="Arial" w:cs="Arial"/>
        </w:rPr>
        <w:t xml:space="preserve">background check.  </w:t>
      </w:r>
    </w:p>
    <w:p w14:paraId="204B0556" w14:textId="77777777" w:rsidR="00132679" w:rsidRPr="006F123B" w:rsidRDefault="00132679" w:rsidP="00132679">
      <w:pPr>
        <w:pStyle w:val="ListParagraph"/>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Ability to communicate effectively orally and in writing.</w:t>
      </w:r>
    </w:p>
    <w:p w14:paraId="791864DE" w14:textId="77777777" w:rsidR="00132679" w:rsidRPr="006F123B" w:rsidRDefault="00132679" w:rsidP="00132679">
      <w:pPr>
        <w:pStyle w:val="ListParagraph"/>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Ability to prioritize and organize workload.</w:t>
      </w:r>
    </w:p>
    <w:p w14:paraId="37E2946E" w14:textId="77777777" w:rsidR="00132679" w:rsidRPr="006F123B" w:rsidRDefault="00132679" w:rsidP="00132679">
      <w:pPr>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Must have the ability to understand and interact with the agency’s computerized accounting system.  This includes problem solving skills and implementing new methods to accomplish processing needs.</w:t>
      </w:r>
    </w:p>
    <w:p w14:paraId="4F339D5D" w14:textId="35B3F4E8" w:rsidR="00732B49" w:rsidRPr="006F123B" w:rsidRDefault="00132679" w:rsidP="00132679">
      <w:pPr>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Proficiency with spreadsheets is necessary.  Individual will be responsible for creating and maintaining various types of spreadsheets, as they are used to monitor and evaluate expenditures and their analysis is the basis for decision making</w:t>
      </w:r>
    </w:p>
    <w:p w14:paraId="1ACCE62C" w14:textId="77777777" w:rsidR="00132679" w:rsidRPr="006F123B" w:rsidRDefault="00132679" w:rsidP="004D4EF6">
      <w:pPr>
        <w:spacing w:after="240" w:line="240" w:lineRule="auto"/>
        <w:rPr>
          <w:rFonts w:ascii="Arial" w:eastAsia="Times New Roman" w:hAnsi="Arial" w:cs="Arial"/>
          <w:b/>
          <w:bCs/>
        </w:rPr>
      </w:pPr>
    </w:p>
    <w:p w14:paraId="57D9C722" w14:textId="74F5F535"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b/>
          <w:bCs/>
        </w:rPr>
        <w:t>Exemption status</w:t>
      </w:r>
    </w:p>
    <w:p w14:paraId="58B955D7" w14:textId="43303A01" w:rsidR="004D4EF6" w:rsidRPr="006F123B" w:rsidRDefault="006F123B" w:rsidP="004D4EF6">
      <w:pPr>
        <w:spacing w:after="240" w:line="240" w:lineRule="auto"/>
        <w:rPr>
          <w:rFonts w:ascii="Arial" w:eastAsia="Times New Roman" w:hAnsi="Arial" w:cs="Arial"/>
        </w:rPr>
      </w:pPr>
      <w:r w:rsidRPr="006F123B">
        <w:rPr>
          <w:rFonts w:ascii="Arial" w:eastAsia="Times New Roman" w:hAnsi="Arial" w:cs="Arial"/>
        </w:rPr>
        <w:t>Non-</w:t>
      </w:r>
      <w:r w:rsidR="007E70C5" w:rsidRPr="006F123B">
        <w:rPr>
          <w:rFonts w:ascii="Arial" w:eastAsia="Times New Roman" w:hAnsi="Arial" w:cs="Arial"/>
        </w:rPr>
        <w:t>Exempt</w:t>
      </w:r>
    </w:p>
    <w:p w14:paraId="11806758" w14:textId="15D02268" w:rsidR="002A0BAD" w:rsidRPr="006F123B" w:rsidRDefault="002A0BAD" w:rsidP="00CA3C7F">
      <w:pPr>
        <w:rPr>
          <w:rFonts w:ascii="Arial" w:eastAsia="Times New Roman" w:hAnsi="Arial" w:cs="Arial"/>
          <w:b/>
          <w:bCs/>
        </w:rPr>
      </w:pPr>
      <w:r w:rsidRPr="006F123B">
        <w:rPr>
          <w:rFonts w:ascii="Arial" w:eastAsia="Times New Roman" w:hAnsi="Arial" w:cs="Arial"/>
          <w:b/>
          <w:bCs/>
        </w:rPr>
        <w:lastRenderedPageBreak/>
        <w:t>Compensation Detail</w:t>
      </w:r>
    </w:p>
    <w:p w14:paraId="06095976" w14:textId="291CD1B5"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 xml:space="preserve">Education, experience and tenure may be considered along with internal equity when job offers are extended.  </w:t>
      </w:r>
    </w:p>
    <w:p w14:paraId="2FB9CA14" w14:textId="3CADBD12"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Benefits eligible</w:t>
      </w:r>
    </w:p>
    <w:p w14:paraId="058A1C50"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Yes</w:t>
      </w:r>
    </w:p>
    <w:p w14:paraId="1E6CE1A3" w14:textId="4C6F4476"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Schedule</w:t>
      </w:r>
      <w:r w:rsidR="004D4EF6" w:rsidRPr="006F123B">
        <w:rPr>
          <w:rFonts w:ascii="Arial" w:eastAsia="Times New Roman" w:hAnsi="Arial" w:cs="Arial"/>
          <w:b/>
          <w:bCs/>
        </w:rPr>
        <w:t xml:space="preserve"> Details</w:t>
      </w:r>
    </w:p>
    <w:p w14:paraId="5218E302" w14:textId="78DE559D"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Full Time</w:t>
      </w:r>
    </w:p>
    <w:p w14:paraId="04876638" w14:textId="76B835FB" w:rsidR="004D4EF6" w:rsidRPr="006F123B" w:rsidRDefault="004D4EF6" w:rsidP="002A0BAD">
      <w:pPr>
        <w:spacing w:after="240" w:line="240" w:lineRule="auto"/>
        <w:rPr>
          <w:rFonts w:ascii="Arial" w:eastAsia="Times New Roman" w:hAnsi="Arial" w:cs="Arial"/>
        </w:rPr>
      </w:pPr>
      <w:r w:rsidRPr="006F123B">
        <w:rPr>
          <w:rFonts w:ascii="Arial" w:eastAsia="Times New Roman" w:hAnsi="Arial" w:cs="Arial"/>
        </w:rPr>
        <w:t xml:space="preserve">Monday – </w:t>
      </w:r>
      <w:r w:rsidR="007E70C5" w:rsidRPr="006F123B">
        <w:rPr>
          <w:rFonts w:ascii="Arial" w:eastAsia="Times New Roman" w:hAnsi="Arial" w:cs="Arial"/>
        </w:rPr>
        <w:t>Thursday</w:t>
      </w:r>
      <w:r w:rsidRPr="006F123B">
        <w:rPr>
          <w:rFonts w:ascii="Arial" w:eastAsia="Times New Roman" w:hAnsi="Arial" w:cs="Arial"/>
        </w:rPr>
        <w:t xml:space="preserve"> </w:t>
      </w:r>
      <w:r w:rsidR="00230B48" w:rsidRPr="006F123B">
        <w:rPr>
          <w:rFonts w:ascii="Arial" w:eastAsia="Times New Roman" w:hAnsi="Arial" w:cs="Arial"/>
        </w:rPr>
        <w:t>7</w:t>
      </w:r>
      <w:r w:rsidRPr="006F123B">
        <w:rPr>
          <w:rFonts w:ascii="Arial" w:eastAsia="Times New Roman" w:hAnsi="Arial" w:cs="Arial"/>
        </w:rPr>
        <w:t xml:space="preserve">:00 – </w:t>
      </w:r>
      <w:r w:rsidR="007E70C5" w:rsidRPr="006F123B">
        <w:rPr>
          <w:rFonts w:ascii="Arial" w:eastAsia="Times New Roman" w:hAnsi="Arial" w:cs="Arial"/>
        </w:rPr>
        <w:t>4</w:t>
      </w:r>
      <w:r w:rsidR="0037014F" w:rsidRPr="006F123B">
        <w:rPr>
          <w:rFonts w:ascii="Arial" w:eastAsia="Times New Roman" w:hAnsi="Arial" w:cs="Arial"/>
        </w:rPr>
        <w:t>:30</w:t>
      </w:r>
      <w:r w:rsidR="007E70C5" w:rsidRPr="006F123B">
        <w:rPr>
          <w:rFonts w:ascii="Arial" w:eastAsia="Times New Roman" w:hAnsi="Arial" w:cs="Arial"/>
        </w:rPr>
        <w:t>, Friday 7:00 - 11</w:t>
      </w:r>
    </w:p>
    <w:p w14:paraId="5DBC3003" w14:textId="2D3187C9" w:rsidR="000A6760" w:rsidRPr="006F123B" w:rsidRDefault="000A6760" w:rsidP="002A0BAD">
      <w:pPr>
        <w:spacing w:after="240" w:line="240" w:lineRule="auto"/>
        <w:rPr>
          <w:rFonts w:ascii="Arial" w:eastAsia="Times New Roman" w:hAnsi="Arial" w:cs="Arial"/>
        </w:rPr>
      </w:pPr>
      <w:r w:rsidRPr="006F123B">
        <w:rPr>
          <w:rFonts w:ascii="Arial" w:eastAsia="Times New Roman" w:hAnsi="Arial" w:cs="Arial"/>
        </w:rPr>
        <w:t>80 Hours/Pay Period</w:t>
      </w:r>
    </w:p>
    <w:p w14:paraId="3F6BF32E" w14:textId="77777777"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b/>
          <w:bCs/>
        </w:rPr>
        <w:t>Weekend schedule</w:t>
      </w:r>
    </w:p>
    <w:p w14:paraId="2B5D1357" w14:textId="77777777"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rPr>
        <w:t>Not Applicable</w:t>
      </w:r>
    </w:p>
    <w:p w14:paraId="453CF177"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Site description</w:t>
      </w:r>
    </w:p>
    <w:p w14:paraId="4E084463" w14:textId="61D06715" w:rsidR="002A0BAD" w:rsidRPr="006F123B" w:rsidRDefault="002A0BAD" w:rsidP="008F72B4">
      <w:pPr>
        <w:shd w:val="clear" w:color="auto" w:fill="FFFFFF"/>
        <w:spacing w:after="0" w:line="240" w:lineRule="auto"/>
        <w:rPr>
          <w:rFonts w:ascii="Arial" w:eastAsia="Times New Roman" w:hAnsi="Arial" w:cs="Arial"/>
          <w:color w:val="333333"/>
        </w:rPr>
      </w:pPr>
      <w:r w:rsidRPr="006F123B">
        <w:rPr>
          <w:rFonts w:ascii="Arial" w:eastAsia="Times New Roman" w:hAnsi="Arial" w:cs="Arial"/>
          <w:color w:val="333333"/>
        </w:rPr>
        <w:t>Here in Wabasha, we believe that our quality of life is something to “shout about”. Our historic river town is cradled between the Mississippi River and the majestic bluffs of scenic southeastern Minnesota. Adjacent to the Upper Mississippi River national Wildlife Refuge, Wabasha provides a panoramic view of nature at its best and an astonishing array of birds and wildlife. Thousands of tundra swans and Canada geese can be seen during migrations and the majestic bald eagle visits the area in multitude each season. While small in population, Wabasha offers big city amenities. 18-hole scenic golf course; Coffee Mill downhill ski and snowboard resort; Outdoor municipal swimming pool; National Eagle Center &amp; observation deck; two marinas on the Mississippi River; Three Fitness Centers; St. Elizabeth’s Hospital</w:t>
      </w:r>
    </w:p>
    <w:p w14:paraId="130F80A6" w14:textId="77777777" w:rsidR="008F72B4" w:rsidRPr="006F123B" w:rsidRDefault="008F72B4" w:rsidP="008F72B4">
      <w:pPr>
        <w:shd w:val="clear" w:color="auto" w:fill="FFFFFF"/>
        <w:spacing w:after="0" w:line="240" w:lineRule="auto"/>
        <w:rPr>
          <w:rFonts w:ascii="Arial" w:eastAsia="Times New Roman" w:hAnsi="Arial" w:cs="Arial"/>
          <w:color w:val="333333"/>
        </w:rPr>
      </w:pPr>
    </w:p>
    <w:p w14:paraId="2E3461DB"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Category</w:t>
      </w:r>
    </w:p>
    <w:p w14:paraId="2A9AEADF" w14:textId="1F605919" w:rsidR="002A0BAD" w:rsidRPr="006F123B" w:rsidRDefault="007E70C5" w:rsidP="002A0BAD">
      <w:pPr>
        <w:spacing w:after="240" w:line="240" w:lineRule="auto"/>
        <w:rPr>
          <w:rFonts w:ascii="Arial" w:eastAsia="Times New Roman" w:hAnsi="Arial" w:cs="Arial"/>
        </w:rPr>
      </w:pPr>
      <w:r w:rsidRPr="006F123B">
        <w:rPr>
          <w:rFonts w:ascii="Arial" w:eastAsia="Times New Roman" w:hAnsi="Arial" w:cs="Arial"/>
        </w:rPr>
        <w:t>Finance</w:t>
      </w:r>
    </w:p>
    <w:p w14:paraId="14715F4E" w14:textId="71DBA725" w:rsidR="002A0BAD" w:rsidRPr="006F123B" w:rsidRDefault="002A0BAD" w:rsidP="002F327B">
      <w:pPr>
        <w:spacing w:after="240" w:line="240" w:lineRule="auto"/>
        <w:rPr>
          <w:rFonts w:ascii="Arial" w:eastAsia="Times New Roman" w:hAnsi="Arial" w:cs="Arial"/>
        </w:rPr>
      </w:pPr>
      <w:r w:rsidRPr="006F123B">
        <w:rPr>
          <w:rFonts w:ascii="Arial" w:eastAsia="Times New Roman" w:hAnsi="Arial" w:cs="Arial"/>
          <w:b/>
          <w:bCs/>
        </w:rPr>
        <w:t>Recruiter</w:t>
      </w:r>
    </w:p>
    <w:p w14:paraId="12A83A51" w14:textId="7F3A594C" w:rsidR="002F327B" w:rsidRPr="006F123B" w:rsidRDefault="00436CCD" w:rsidP="002F327B">
      <w:pPr>
        <w:spacing w:after="240" w:line="240" w:lineRule="auto"/>
        <w:rPr>
          <w:rFonts w:ascii="Arial" w:eastAsia="Times New Roman" w:hAnsi="Arial" w:cs="Arial"/>
        </w:rPr>
      </w:pPr>
      <w:r w:rsidRPr="006F123B">
        <w:rPr>
          <w:rFonts w:ascii="Arial" w:eastAsia="Times New Roman" w:hAnsi="Arial" w:cs="Arial"/>
        </w:rPr>
        <w:t>Maggie Gallagher</w:t>
      </w:r>
    </w:p>
    <w:p w14:paraId="5C62023C"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Equal opportunity employer</w:t>
      </w:r>
    </w:p>
    <w:p w14:paraId="36FC9BE7" w14:textId="02D2C054"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SEMMCHRA is an equal opportunity educator and employer (including veterans and persons with disabilities).</w:t>
      </w:r>
    </w:p>
    <w:p w14:paraId="6A2901E6" w14:textId="7BB8D579" w:rsidR="00FA6F59" w:rsidRPr="006F123B" w:rsidRDefault="00FA6F59" w:rsidP="002A0BAD">
      <w:pPr>
        <w:spacing w:after="240" w:line="240" w:lineRule="auto"/>
        <w:rPr>
          <w:rFonts w:ascii="Arial" w:eastAsia="Times New Roman" w:hAnsi="Arial" w:cs="Arial"/>
          <w:b/>
        </w:rPr>
      </w:pPr>
      <w:r w:rsidRPr="006F123B">
        <w:rPr>
          <w:rFonts w:ascii="Arial" w:eastAsia="Times New Roman" w:hAnsi="Arial" w:cs="Arial"/>
          <w:b/>
        </w:rPr>
        <w:t>APPLY ONLINE:</w:t>
      </w:r>
    </w:p>
    <w:p w14:paraId="1BBDEED7" w14:textId="77777777" w:rsidR="00E80303" w:rsidRPr="006F123B" w:rsidRDefault="008F72B4" w:rsidP="002A0BAD">
      <w:pPr>
        <w:spacing w:after="240" w:line="240" w:lineRule="auto"/>
        <w:rPr>
          <w:rFonts w:ascii="Arial" w:eastAsia="Times New Roman" w:hAnsi="Arial" w:cs="Arial"/>
        </w:rPr>
      </w:pPr>
      <w:r w:rsidRPr="006F123B">
        <w:rPr>
          <w:rFonts w:ascii="Arial" w:eastAsia="Times New Roman" w:hAnsi="Arial" w:cs="Arial"/>
        </w:rPr>
        <w:t xml:space="preserve">Internal or external candidates will be </w:t>
      </w:r>
      <w:r w:rsidR="00FA6F59" w:rsidRPr="006F123B">
        <w:rPr>
          <w:rFonts w:ascii="Arial" w:eastAsia="Times New Roman" w:hAnsi="Arial" w:cs="Arial"/>
        </w:rPr>
        <w:t>considered for an interview</w:t>
      </w:r>
      <w:r w:rsidR="00E80303" w:rsidRPr="006F123B">
        <w:rPr>
          <w:rFonts w:ascii="Arial" w:eastAsia="Times New Roman" w:hAnsi="Arial" w:cs="Arial"/>
        </w:rPr>
        <w:t xml:space="preserve"> and</w:t>
      </w:r>
      <w:r w:rsidR="00FA6F59" w:rsidRPr="006F123B">
        <w:rPr>
          <w:rFonts w:ascii="Arial" w:eastAsia="Times New Roman" w:hAnsi="Arial" w:cs="Arial"/>
        </w:rPr>
        <w:t xml:space="preserve"> must complete online application(s) at:</w:t>
      </w:r>
      <w:r w:rsidR="00E80303" w:rsidRPr="006F123B">
        <w:rPr>
          <w:rFonts w:ascii="Arial" w:eastAsia="Times New Roman" w:hAnsi="Arial" w:cs="Arial"/>
        </w:rPr>
        <w:t xml:space="preserve">  </w:t>
      </w:r>
    </w:p>
    <w:p w14:paraId="225DB5FE" w14:textId="64A7FDBC" w:rsidR="00FA6F59" w:rsidRPr="008B4B6C" w:rsidRDefault="00995A8B" w:rsidP="002A0BAD">
      <w:pPr>
        <w:spacing w:after="240" w:line="240" w:lineRule="auto"/>
        <w:rPr>
          <w:rFonts w:ascii="Arial" w:eastAsia="Times New Roman" w:hAnsi="Arial" w:cs="Arial"/>
          <w:b/>
        </w:rPr>
      </w:pPr>
      <w:hyperlink r:id="rId8" w:history="1">
        <w:r w:rsidR="00FA6F59" w:rsidRPr="008B4B6C">
          <w:rPr>
            <w:rStyle w:val="Hyperlink"/>
            <w:rFonts w:ascii="Arial" w:eastAsia="Times New Roman" w:hAnsi="Arial" w:cs="Arial"/>
            <w:b/>
          </w:rPr>
          <w:t>http://www.semmchra.org/about-us/employment-opportunities/</w:t>
        </w:r>
      </w:hyperlink>
      <w:r w:rsidR="00FA6F59" w:rsidRPr="008B4B6C">
        <w:rPr>
          <w:rFonts w:ascii="Arial" w:eastAsia="Times New Roman" w:hAnsi="Arial" w:cs="Arial"/>
          <w:b/>
        </w:rPr>
        <w:t xml:space="preserve"> </w:t>
      </w:r>
    </w:p>
    <w:sectPr w:rsidR="00FA6F59" w:rsidRPr="008B4B6C"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CD6C" w14:textId="77777777" w:rsidR="00995A8B" w:rsidRDefault="00995A8B" w:rsidP="008F72B4">
      <w:pPr>
        <w:spacing w:after="0" w:line="240" w:lineRule="auto"/>
      </w:pPr>
      <w:r>
        <w:separator/>
      </w:r>
    </w:p>
  </w:endnote>
  <w:endnote w:type="continuationSeparator" w:id="0">
    <w:p w14:paraId="6F5CB807" w14:textId="77777777" w:rsidR="00995A8B" w:rsidRDefault="00995A8B"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443" w14:textId="127460CE" w:rsidR="007E1CBE" w:rsidRPr="00737BD1" w:rsidRDefault="00737BD1" w:rsidP="00737BD1">
    <w:pPr>
      <w:pStyle w:val="Footer"/>
    </w:pPr>
    <w:r>
      <w:fldChar w:fldCharType="begin"/>
    </w:r>
    <w:r>
      <w:instrText xml:space="preserve"> DATE \@ "M/d/yyyy" </w:instrText>
    </w:r>
    <w:r>
      <w:fldChar w:fldCharType="separate"/>
    </w:r>
    <w:r w:rsidR="008C55D8">
      <w:rPr>
        <w:noProof/>
      </w:rPr>
      <w:t>7/19/2021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7D3E" w14:textId="77777777" w:rsidR="00995A8B" w:rsidRDefault="00995A8B" w:rsidP="008F72B4">
      <w:pPr>
        <w:spacing w:after="0" w:line="240" w:lineRule="auto"/>
      </w:pPr>
      <w:r>
        <w:separator/>
      </w:r>
    </w:p>
  </w:footnote>
  <w:footnote w:type="continuationSeparator" w:id="0">
    <w:p w14:paraId="75B2E1A0" w14:textId="77777777" w:rsidR="00995A8B" w:rsidRDefault="00995A8B"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A0D"/>
    <w:multiLevelType w:val="hybridMultilevel"/>
    <w:tmpl w:val="3ADE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09E"/>
    <w:multiLevelType w:val="hybridMultilevel"/>
    <w:tmpl w:val="CE28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62C82"/>
    <w:multiLevelType w:val="hybridMultilevel"/>
    <w:tmpl w:val="48266928"/>
    <w:lvl w:ilvl="0" w:tplc="B838B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4680D"/>
    <w:multiLevelType w:val="hybridMultilevel"/>
    <w:tmpl w:val="2E4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B4C99"/>
    <w:multiLevelType w:val="hybridMultilevel"/>
    <w:tmpl w:val="9B2EB9F4"/>
    <w:lvl w:ilvl="0" w:tplc="5E624B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11F76"/>
    <w:multiLevelType w:val="hybridMultilevel"/>
    <w:tmpl w:val="46521B0E"/>
    <w:lvl w:ilvl="0" w:tplc="1AEE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C1638"/>
    <w:multiLevelType w:val="hybridMultilevel"/>
    <w:tmpl w:val="1BB42B2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6315E0"/>
    <w:multiLevelType w:val="hybridMultilevel"/>
    <w:tmpl w:val="CCF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4"/>
  </w:num>
  <w:num w:numId="4">
    <w:abstractNumId w:val="2"/>
  </w:num>
  <w:num w:numId="5">
    <w:abstractNumId w:val="6"/>
  </w:num>
  <w:num w:numId="6">
    <w:abstractNumId w:val="9"/>
  </w:num>
  <w:num w:numId="7">
    <w:abstractNumId w:val="10"/>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2799A"/>
    <w:rsid w:val="000A6760"/>
    <w:rsid w:val="000B20D5"/>
    <w:rsid w:val="001106A9"/>
    <w:rsid w:val="00132679"/>
    <w:rsid w:val="001D7E9F"/>
    <w:rsid w:val="00230B48"/>
    <w:rsid w:val="002A0BAD"/>
    <w:rsid w:val="002A3C0F"/>
    <w:rsid w:val="002C4F67"/>
    <w:rsid w:val="002C6609"/>
    <w:rsid w:val="002D33CC"/>
    <w:rsid w:val="002D48EE"/>
    <w:rsid w:val="002F327B"/>
    <w:rsid w:val="003416D6"/>
    <w:rsid w:val="0037014F"/>
    <w:rsid w:val="00376132"/>
    <w:rsid w:val="003A03DF"/>
    <w:rsid w:val="003C5496"/>
    <w:rsid w:val="00417E22"/>
    <w:rsid w:val="00436CCD"/>
    <w:rsid w:val="00451B19"/>
    <w:rsid w:val="004C1185"/>
    <w:rsid w:val="004D3CAB"/>
    <w:rsid w:val="004D4EF6"/>
    <w:rsid w:val="00535E63"/>
    <w:rsid w:val="00561DA6"/>
    <w:rsid w:val="0058635F"/>
    <w:rsid w:val="005E3F48"/>
    <w:rsid w:val="00606B22"/>
    <w:rsid w:val="006103E0"/>
    <w:rsid w:val="006309FB"/>
    <w:rsid w:val="00644737"/>
    <w:rsid w:val="006832BE"/>
    <w:rsid w:val="00695513"/>
    <w:rsid w:val="006B18D1"/>
    <w:rsid w:val="006D6BF2"/>
    <w:rsid w:val="006F123B"/>
    <w:rsid w:val="00723F0B"/>
    <w:rsid w:val="00732B49"/>
    <w:rsid w:val="00733154"/>
    <w:rsid w:val="00737BD1"/>
    <w:rsid w:val="00746866"/>
    <w:rsid w:val="00781860"/>
    <w:rsid w:val="00792FD8"/>
    <w:rsid w:val="007953EA"/>
    <w:rsid w:val="007B09DE"/>
    <w:rsid w:val="007B661F"/>
    <w:rsid w:val="007E1CBE"/>
    <w:rsid w:val="007E70C5"/>
    <w:rsid w:val="0081503C"/>
    <w:rsid w:val="00831EA8"/>
    <w:rsid w:val="008425E9"/>
    <w:rsid w:val="00854012"/>
    <w:rsid w:val="00893D2D"/>
    <w:rsid w:val="008B4B6C"/>
    <w:rsid w:val="008C55D8"/>
    <w:rsid w:val="008F72B4"/>
    <w:rsid w:val="00995A8B"/>
    <w:rsid w:val="009A060C"/>
    <w:rsid w:val="00A37898"/>
    <w:rsid w:val="00A818BF"/>
    <w:rsid w:val="00AC0B37"/>
    <w:rsid w:val="00AE1F94"/>
    <w:rsid w:val="00AE5699"/>
    <w:rsid w:val="00B00E2A"/>
    <w:rsid w:val="00B05667"/>
    <w:rsid w:val="00B15D47"/>
    <w:rsid w:val="00B765C3"/>
    <w:rsid w:val="00BB1DAF"/>
    <w:rsid w:val="00BB7ED3"/>
    <w:rsid w:val="00BF5ED4"/>
    <w:rsid w:val="00C13BC4"/>
    <w:rsid w:val="00C17642"/>
    <w:rsid w:val="00C363F7"/>
    <w:rsid w:val="00C44E50"/>
    <w:rsid w:val="00CA3C7F"/>
    <w:rsid w:val="00CD003D"/>
    <w:rsid w:val="00CD6D62"/>
    <w:rsid w:val="00D20D55"/>
    <w:rsid w:val="00E12A65"/>
    <w:rsid w:val="00E14217"/>
    <w:rsid w:val="00E80303"/>
    <w:rsid w:val="00EC017A"/>
    <w:rsid w:val="00F533A4"/>
    <w:rsid w:val="00F863DF"/>
    <w:rsid w:val="00FA218E"/>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 w:type="paragraph" w:styleId="BodyText2">
    <w:name w:val="Body Text 2"/>
    <w:basedOn w:val="Normal"/>
    <w:link w:val="BodyText2Char"/>
    <w:unhideWhenUsed/>
    <w:rsid w:val="00B00E2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00E2A"/>
    <w:rPr>
      <w:rFonts w:ascii="Times New Roman" w:eastAsia="Times New Roman" w:hAnsi="Times New Roman" w:cs="Times New Roman"/>
      <w:i/>
      <w:iCs/>
      <w:sz w:val="24"/>
      <w:szCs w:val="24"/>
    </w:rPr>
  </w:style>
  <w:style w:type="paragraph" w:styleId="BodyTextIndent3">
    <w:name w:val="Body Text Indent 3"/>
    <w:basedOn w:val="Normal"/>
    <w:link w:val="BodyTextIndent3Char"/>
    <w:uiPriority w:val="99"/>
    <w:semiHidden/>
    <w:unhideWhenUsed/>
    <w:rsid w:val="00B00E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0E2A"/>
    <w:rPr>
      <w:sz w:val="16"/>
      <w:szCs w:val="16"/>
    </w:rPr>
  </w:style>
  <w:style w:type="character" w:styleId="FollowedHyperlink">
    <w:name w:val="FollowedHyperlink"/>
    <w:basedOn w:val="DefaultParagraphFont"/>
    <w:uiPriority w:val="99"/>
    <w:semiHidden/>
    <w:unhideWhenUsed/>
    <w:rsid w:val="00E1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201D-023B-44F1-A62D-B0448F45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25</cp:revision>
  <cp:lastPrinted>2019-09-24T20:32:00Z</cp:lastPrinted>
  <dcterms:created xsi:type="dcterms:W3CDTF">2021-03-18T20:55:00Z</dcterms:created>
  <dcterms:modified xsi:type="dcterms:W3CDTF">2021-07-19T19:29:00Z</dcterms:modified>
</cp:coreProperties>
</file>