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DB68" w14:textId="77777777" w:rsidR="0066682C" w:rsidRDefault="004A0A10">
      <w:pPr>
        <w:pStyle w:val="BodyText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1F26809C" wp14:editId="232097BF">
            <wp:extent cx="2288853" cy="783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3" cy="7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D34F" w14:textId="7B398101" w:rsidR="0066682C" w:rsidRDefault="00BC6CA1">
      <w:pPr>
        <w:spacing w:before="152"/>
        <w:ind w:left="18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346A4145" wp14:editId="32DA4944">
                <wp:simplePos x="0" y="0"/>
                <wp:positionH relativeFrom="page">
                  <wp:posOffset>713105</wp:posOffset>
                </wp:positionH>
                <wp:positionV relativeFrom="paragraph">
                  <wp:posOffset>-314325</wp:posOffset>
                </wp:positionV>
                <wp:extent cx="90805" cy="1333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A12" w14:textId="77777777" w:rsidR="0066682C" w:rsidRDefault="004A0A10">
                            <w:pPr>
                              <w:spacing w:line="21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A4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5pt;margin-top:-24.75pt;width:7.15pt;height:10.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3CrQIAAKc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" filled="f" stroked="f">
                <v:textbox inset="0,0,0,0">
                  <w:txbxContent>
                    <w:p w14:paraId="7B2EDA12" w14:textId="77777777" w:rsidR="0066682C" w:rsidRDefault="004A0A10">
                      <w:pPr>
                        <w:spacing w:line="210" w:lineRule="exac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56C776" wp14:editId="14D08F6F">
                <wp:simplePos x="0" y="0"/>
                <wp:positionH relativeFrom="page">
                  <wp:posOffset>632460</wp:posOffset>
                </wp:positionH>
                <wp:positionV relativeFrom="paragraph">
                  <wp:posOffset>250190</wp:posOffset>
                </wp:positionV>
                <wp:extent cx="6126480" cy="0"/>
                <wp:effectExtent l="1333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F48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9.7pt" to="532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" strokeweight=".78pt">
                <w10:wrap anchorx="page"/>
              </v:line>
            </w:pict>
          </mc:Fallback>
        </mc:AlternateContent>
      </w:r>
      <w:r w:rsidR="004A0A10">
        <w:rPr>
          <w:sz w:val="19"/>
        </w:rPr>
        <w:t xml:space="preserve">134 East Second Street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Wabasha, MN 55981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phone (651) 565-2638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fax (651) 565-3836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</w:t>
      </w:r>
      <w:hyperlink r:id="rId6">
        <w:r w:rsidR="004A0A10">
          <w:rPr>
            <w:sz w:val="19"/>
          </w:rPr>
          <w:t>www.semmchra.org</w:t>
        </w:r>
      </w:hyperlink>
    </w:p>
    <w:p w14:paraId="06187630" w14:textId="77777777" w:rsidR="0066682C" w:rsidRDefault="0066682C">
      <w:pPr>
        <w:pStyle w:val="BodyText"/>
        <w:spacing w:before="4"/>
        <w:rPr>
          <w:sz w:val="23"/>
        </w:rPr>
      </w:pPr>
    </w:p>
    <w:p w14:paraId="737AC5E8" w14:textId="77777777" w:rsidR="0066682C" w:rsidRDefault="004A0A10">
      <w:pPr>
        <w:pStyle w:val="Heading1"/>
        <w:ind w:left="2956" w:firstLine="0"/>
      </w:pPr>
      <w:r>
        <w:t>REGULAR BOARD MEETING AGENDA</w:t>
      </w:r>
    </w:p>
    <w:p w14:paraId="48075782" w14:textId="77777777" w:rsidR="0066682C" w:rsidRDefault="004A0A10">
      <w:pPr>
        <w:pStyle w:val="BodyText"/>
        <w:spacing w:before="184"/>
        <w:ind w:left="1414" w:right="652"/>
        <w:jc w:val="center"/>
      </w:pPr>
      <w:r>
        <w:t>Southeastern Minnesota Multi-County Housing and Redevelopment Authority HRA Board of Commissioners</w:t>
      </w:r>
    </w:p>
    <w:p w14:paraId="5CB4E460" w14:textId="03EF6A4D" w:rsidR="0066682C" w:rsidRDefault="004A0A10">
      <w:pPr>
        <w:pStyle w:val="BodyText"/>
        <w:ind w:left="3313" w:right="1098" w:hanging="357"/>
      </w:pPr>
      <w:r>
        <w:t xml:space="preserve">134 East Second Street, Wabasha, MN 55981 Wednesday, </w:t>
      </w:r>
      <w:r w:rsidR="00BC6CA1">
        <w:t>August 21, 2019</w:t>
      </w:r>
      <w:r>
        <w:t xml:space="preserve"> at 10:00 am</w:t>
      </w:r>
    </w:p>
    <w:p w14:paraId="22AA2206" w14:textId="77777777" w:rsidR="0066682C" w:rsidRDefault="004A0A10">
      <w:pPr>
        <w:pStyle w:val="Heading1"/>
        <w:spacing w:before="185"/>
        <w:ind w:left="183" w:firstLine="0"/>
      </w:pPr>
      <w:r>
        <w:t>MEMBERS PRESENT:</w:t>
      </w:r>
    </w:p>
    <w:p w14:paraId="73E81046" w14:textId="77777777" w:rsidR="0066682C" w:rsidRDefault="0066682C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880"/>
        <w:gridCol w:w="2570"/>
      </w:tblGrid>
      <w:tr w:rsidR="0066682C" w14:paraId="00BC31D1" w14:textId="77777777">
        <w:trPr>
          <w:trHeight w:val="248"/>
        </w:trPr>
        <w:tc>
          <w:tcPr>
            <w:tcW w:w="2570" w:type="dxa"/>
          </w:tcPr>
          <w:p w14:paraId="28C5544D" w14:textId="77777777" w:rsidR="0066682C" w:rsidRDefault="004A0A10">
            <w:pPr>
              <w:pStyle w:val="TableParagraph"/>
              <w:tabs>
                <w:tab w:val="left" w:pos="2209"/>
              </w:tabs>
              <w:spacing w:line="228" w:lineRule="exact"/>
              <w:ind w:left="50"/>
            </w:pPr>
            <w:r>
              <w:t>Anderson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353FE604" w14:textId="77777777" w:rsidR="0066682C" w:rsidRDefault="004A0A10">
            <w:pPr>
              <w:pStyle w:val="TableParagraph"/>
              <w:tabs>
                <w:tab w:val="left" w:pos="2519"/>
              </w:tabs>
              <w:spacing w:line="228" w:lineRule="exact"/>
              <w:ind w:left="359"/>
            </w:pPr>
            <w:r>
              <w:t>Demmer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6F67EB56" w14:textId="77777777" w:rsidR="0066682C" w:rsidRDefault="004A0A10">
            <w:pPr>
              <w:pStyle w:val="TableParagraph"/>
              <w:tabs>
                <w:tab w:val="left" w:pos="2159"/>
              </w:tabs>
              <w:spacing w:line="228" w:lineRule="exact"/>
              <w:ind w:right="49"/>
              <w:jc w:val="right"/>
            </w:pPr>
            <w:r>
              <w:rPr>
                <w:spacing w:val="-1"/>
              </w:rPr>
              <w:t>Hall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682C" w14:paraId="758BC444" w14:textId="77777777">
        <w:trPr>
          <w:trHeight w:val="252"/>
        </w:trPr>
        <w:tc>
          <w:tcPr>
            <w:tcW w:w="2570" w:type="dxa"/>
          </w:tcPr>
          <w:p w14:paraId="4ECFBDDF" w14:textId="579B66DD" w:rsidR="0066682C" w:rsidRDefault="00896273" w:rsidP="00896273">
            <w:pPr>
              <w:pStyle w:val="TableParagraph"/>
              <w:tabs>
                <w:tab w:val="left" w:pos="2209"/>
              </w:tabs>
            </w:pPr>
            <w:r>
              <w:t xml:space="preserve"> Keehn</w:t>
            </w:r>
            <w:r w:rsidR="004A0A10"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2B3EE88" w14:textId="4A30DFD5" w:rsidR="0066682C" w:rsidRDefault="00896273">
            <w:pPr>
              <w:pStyle w:val="TableParagraph"/>
              <w:tabs>
                <w:tab w:val="left" w:pos="2519"/>
              </w:tabs>
              <w:ind w:left="359"/>
            </w:pPr>
            <w:r>
              <w:t>Key</w:t>
            </w:r>
            <w:r w:rsidR="004A0A10">
              <w:rPr>
                <w:u w:val="single"/>
              </w:rPr>
              <w:t xml:space="preserve"> </w:t>
            </w:r>
            <w:r w:rsidR="004A0A10"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1BD2802B" w14:textId="0E18B210" w:rsidR="0066682C" w:rsidRDefault="00896273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rPr>
                <w:spacing w:val="-1"/>
              </w:rPr>
              <w:t>Klevos</w:t>
            </w:r>
            <w:r w:rsidR="004A0A10">
              <w:rPr>
                <w:spacing w:val="-1"/>
                <w:u w:val="single"/>
              </w:rPr>
              <w:t xml:space="preserve"> </w:t>
            </w:r>
            <w:r w:rsidR="004A0A10">
              <w:rPr>
                <w:spacing w:val="-1"/>
                <w:u w:val="single"/>
              </w:rPr>
              <w:tab/>
            </w:r>
          </w:p>
        </w:tc>
      </w:tr>
      <w:tr w:rsidR="003E0543" w14:paraId="704DF464" w14:textId="77777777" w:rsidTr="00E05EC5">
        <w:trPr>
          <w:trHeight w:val="275"/>
        </w:trPr>
        <w:tc>
          <w:tcPr>
            <w:tcW w:w="2570" w:type="dxa"/>
          </w:tcPr>
          <w:p w14:paraId="0DF54BF5" w14:textId="74D2D6EC" w:rsidR="003E0543" w:rsidRDefault="003E0543" w:rsidP="003E0543">
            <w:pPr>
              <w:pStyle w:val="TableParagraph"/>
              <w:tabs>
                <w:tab w:val="left" w:pos="2209"/>
              </w:tabs>
            </w:pPr>
            <w:r>
              <w:t xml:space="preserve"> Mielke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66FB52C" w14:textId="1C01D5C0" w:rsidR="003E0543" w:rsidRDefault="003E0543" w:rsidP="003E0543">
            <w:pPr>
              <w:pStyle w:val="TableParagraph"/>
              <w:tabs>
                <w:tab w:val="left" w:pos="2519"/>
              </w:tabs>
              <w:ind w:left="360"/>
            </w:pPr>
            <w:r>
              <w:rPr>
                <w:spacing w:val="-1"/>
              </w:rPr>
              <w:t>Peterson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5686112E" w14:textId="0CBAA466" w:rsidR="003E0543" w:rsidRDefault="003E0543" w:rsidP="003E0543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t>Roberts</w:t>
            </w:r>
            <w:r>
              <w:rPr>
                <w:u w:val="single"/>
              </w:rPr>
              <w:tab/>
            </w:r>
          </w:p>
        </w:tc>
      </w:tr>
      <w:tr w:rsidR="003E0543" w14:paraId="27FD7D3A" w14:textId="77777777">
        <w:trPr>
          <w:trHeight w:val="248"/>
        </w:trPr>
        <w:tc>
          <w:tcPr>
            <w:tcW w:w="2570" w:type="dxa"/>
          </w:tcPr>
          <w:p w14:paraId="79A582A1" w14:textId="3A66144C" w:rsidR="003E0543" w:rsidRDefault="003E0543" w:rsidP="003E0543">
            <w:pPr>
              <w:pStyle w:val="TableParagraph"/>
              <w:tabs>
                <w:tab w:val="left" w:pos="2209"/>
              </w:tabs>
              <w:spacing w:line="228" w:lineRule="exact"/>
              <w:ind w:left="50"/>
            </w:pPr>
            <w:r>
              <w:t>Ward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5D9166AD" w14:textId="45FB0316" w:rsidR="003E0543" w:rsidRDefault="003E0543" w:rsidP="003E0543">
            <w:pPr>
              <w:pStyle w:val="TableParagraph"/>
              <w:spacing w:line="240" w:lineRule="auto"/>
              <w:rPr>
                <w:sz w:val="18"/>
              </w:rPr>
            </w:pPr>
            <w:r>
              <w:t xml:space="preserve">  </w:t>
            </w:r>
          </w:p>
        </w:tc>
        <w:tc>
          <w:tcPr>
            <w:tcW w:w="2570" w:type="dxa"/>
          </w:tcPr>
          <w:p w14:paraId="2E1CF55B" w14:textId="77777777" w:rsidR="003E0543" w:rsidRDefault="003E0543" w:rsidP="003E054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51B7EBEC" w14:textId="77777777" w:rsidR="008F01F2" w:rsidRDefault="008F01F2" w:rsidP="008F01F2">
      <w:pPr>
        <w:pStyle w:val="ListParagraph"/>
        <w:tabs>
          <w:tab w:val="left" w:pos="903"/>
          <w:tab w:val="left" w:pos="904"/>
        </w:tabs>
        <w:ind w:left="903" w:firstLine="0"/>
        <w:rPr>
          <w:b/>
          <w:sz w:val="24"/>
        </w:rPr>
      </w:pPr>
    </w:p>
    <w:p w14:paraId="6DEF7B71" w14:textId="42F87BF3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Call Meeting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</w:p>
    <w:p w14:paraId="175F8F4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bookmarkStart w:id="0" w:name="_GoBack"/>
      <w:bookmarkEnd w:id="0"/>
    </w:p>
    <w:p w14:paraId="48080F3A" w14:textId="43E0595E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 xml:space="preserve">Oath of Office – </w:t>
      </w:r>
      <w:r w:rsidR="006F0C22">
        <w:rPr>
          <w:b/>
          <w:sz w:val="24"/>
        </w:rPr>
        <w:t>Robert Keehn</w:t>
      </w:r>
    </w:p>
    <w:p w14:paraId="783CF0A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Approval of Agenda 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Addendum</w:t>
      </w:r>
    </w:p>
    <w:p w14:paraId="54E8DC3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Agenda</w:t>
      </w:r>
    </w:p>
    <w:p w14:paraId="0454B73F" w14:textId="0BDF5301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of Minutes – </w:t>
      </w:r>
      <w:r w:rsidR="006F0C22">
        <w:rPr>
          <w:sz w:val="24"/>
        </w:rPr>
        <w:t>July 17</w:t>
      </w:r>
      <w:r>
        <w:rPr>
          <w:sz w:val="24"/>
        </w:rPr>
        <w:t>, 2019 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</w:p>
    <w:p w14:paraId="4106A522" w14:textId="77FC0068" w:rsidR="0066682C" w:rsidRDefault="006F0C22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Set Public Hearing for Wednesday</w:t>
      </w:r>
      <w:r w:rsidR="00896273">
        <w:rPr>
          <w:sz w:val="24"/>
        </w:rPr>
        <w:t xml:space="preserve">, </w:t>
      </w:r>
      <w:r>
        <w:rPr>
          <w:sz w:val="24"/>
        </w:rPr>
        <w:t>September 18</w:t>
      </w:r>
      <w:r w:rsidRPr="006F0C22">
        <w:rPr>
          <w:sz w:val="24"/>
          <w:vertAlign w:val="superscript"/>
        </w:rPr>
        <w:t>th</w:t>
      </w:r>
      <w:r>
        <w:rPr>
          <w:sz w:val="24"/>
        </w:rPr>
        <w:t xml:space="preserve"> Board Meeting</w:t>
      </w:r>
      <w:r w:rsidR="001F3C56">
        <w:rPr>
          <w:sz w:val="24"/>
        </w:rPr>
        <w:t xml:space="preserve"> </w:t>
      </w:r>
      <w:r w:rsidR="00896273">
        <w:rPr>
          <w:sz w:val="24"/>
        </w:rPr>
        <w:t>(R)</w:t>
      </w:r>
    </w:p>
    <w:p w14:paraId="36F9DA80" w14:textId="3C827B58" w:rsidR="0066682C" w:rsidRDefault="006F0C22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Request to Waive 120% Loan to Value Requirements (Loan #11015)</w:t>
      </w:r>
    </w:p>
    <w:p w14:paraId="315B9C0A" w14:textId="77777777" w:rsidR="0066682C" w:rsidRDefault="0066682C">
      <w:pPr>
        <w:pStyle w:val="BodyText"/>
        <w:rPr>
          <w:b/>
        </w:rPr>
      </w:pPr>
    </w:p>
    <w:p w14:paraId="227DE9E6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Review and Acceptance of Financial Statements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Communications</w:t>
      </w:r>
    </w:p>
    <w:p w14:paraId="61DFF61D" w14:textId="41CCB6B8" w:rsidR="0066682C" w:rsidRDefault="006F0C22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July 31, 2019</w:t>
      </w:r>
    </w:p>
    <w:p w14:paraId="67F19458" w14:textId="77777777" w:rsidR="0066682C" w:rsidRDefault="0066682C">
      <w:pPr>
        <w:pStyle w:val="BodyText"/>
      </w:pPr>
    </w:p>
    <w:p w14:paraId="39D4DDB1" w14:textId="658A91A6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</w:pPr>
      <w:r>
        <w:t>Public and Commissioners</w:t>
      </w:r>
      <w:r>
        <w:rPr>
          <w:spacing w:val="-2"/>
        </w:rPr>
        <w:t xml:space="preserve"> </w:t>
      </w:r>
      <w:r>
        <w:t>Comments</w:t>
      </w:r>
    </w:p>
    <w:p w14:paraId="10028139" w14:textId="77777777" w:rsidR="006F0C22" w:rsidRDefault="006F0C22" w:rsidP="006F0C22">
      <w:pPr>
        <w:pStyle w:val="Heading1"/>
        <w:tabs>
          <w:tab w:val="left" w:pos="903"/>
          <w:tab w:val="left" w:pos="904"/>
        </w:tabs>
        <w:spacing w:line="275" w:lineRule="exact"/>
        <w:ind w:firstLine="0"/>
      </w:pPr>
    </w:p>
    <w:p w14:paraId="48EE63A1" w14:textId="77777777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Report of the Executive</w:t>
      </w:r>
      <w:r>
        <w:rPr>
          <w:spacing w:val="-1"/>
        </w:rPr>
        <w:t xml:space="preserve"> </w:t>
      </w:r>
      <w:r>
        <w:t>Director</w:t>
      </w:r>
    </w:p>
    <w:p w14:paraId="7C70F7EB" w14:textId="77777777" w:rsidR="0066682C" w:rsidRDefault="0066682C">
      <w:pPr>
        <w:pStyle w:val="BodyText"/>
        <w:rPr>
          <w:b/>
        </w:rPr>
      </w:pPr>
    </w:p>
    <w:p w14:paraId="14E3E9CF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Old Business</w:t>
      </w:r>
    </w:p>
    <w:p w14:paraId="068D725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Rental Housing and Rental Assistance Reports &amp;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</w:p>
    <w:p w14:paraId="7B68E3D2" w14:textId="77777777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Winona HRA Voucher Transfer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01F8FC88" w14:textId="71ED091B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73"/>
        <w:jc w:val="left"/>
        <w:rPr>
          <w:sz w:val="24"/>
        </w:rPr>
      </w:pP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 w:rsidR="006F0C22">
        <w:rPr>
          <w:sz w:val="24"/>
        </w:rPr>
        <w:t>-Denied</w:t>
      </w:r>
    </w:p>
    <w:p w14:paraId="47FCB004" w14:textId="478EAA6E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spacing w:before="1"/>
        <w:ind w:hanging="44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 w:rsidR="006F0C22">
        <w:rPr>
          <w:sz w:val="24"/>
        </w:rPr>
        <w:t xml:space="preserve"> update</w:t>
      </w:r>
    </w:p>
    <w:p w14:paraId="43F975A7" w14:textId="77777777" w:rsidR="0066682C" w:rsidRDefault="0066682C">
      <w:pPr>
        <w:pStyle w:val="BodyText"/>
        <w:spacing w:before="11"/>
        <w:rPr>
          <w:sz w:val="23"/>
        </w:rPr>
      </w:pPr>
    </w:p>
    <w:p w14:paraId="54235D3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Community Development Reports &amp;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</w:p>
    <w:p w14:paraId="6BBCB145" w14:textId="221E4B38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Cannon Fall Sandstone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 w:rsidR="006F0C22">
        <w:rPr>
          <w:sz w:val="24"/>
        </w:rPr>
        <w:t xml:space="preserve"> Update</w:t>
      </w:r>
    </w:p>
    <w:p w14:paraId="7F386D4B" w14:textId="2234EEC1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Goodhue County</w:t>
      </w:r>
      <w:r w:rsidR="00896273">
        <w:rPr>
          <w:sz w:val="24"/>
        </w:rPr>
        <w:t xml:space="preserve"> Down payment</w:t>
      </w:r>
      <w:r>
        <w:rPr>
          <w:sz w:val="24"/>
        </w:rPr>
        <w:t xml:space="preserve"> Assistance Program update</w:t>
      </w:r>
    </w:p>
    <w:p w14:paraId="4D6766DD" w14:textId="2CD2E5F0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Kasson Flood Program update</w:t>
      </w:r>
    </w:p>
    <w:p w14:paraId="31CBF943" w14:textId="2C7C615A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 xml:space="preserve">HECAT </w:t>
      </w:r>
      <w:r w:rsidR="00896273">
        <w:rPr>
          <w:sz w:val="24"/>
        </w:rPr>
        <w:t>U</w:t>
      </w:r>
      <w:r>
        <w:rPr>
          <w:sz w:val="24"/>
        </w:rPr>
        <w:t>pdate</w:t>
      </w:r>
    </w:p>
    <w:p w14:paraId="169158B4" w14:textId="78C22E38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 xml:space="preserve">SCDP 2020 </w:t>
      </w:r>
      <w:r w:rsidR="00896273">
        <w:rPr>
          <w:sz w:val="24"/>
        </w:rPr>
        <w:t>U</w:t>
      </w:r>
      <w:r>
        <w:rPr>
          <w:sz w:val="24"/>
        </w:rPr>
        <w:t>pdate</w:t>
      </w:r>
    </w:p>
    <w:p w14:paraId="40E9822D" w14:textId="77777777" w:rsidR="0066682C" w:rsidRDefault="0066682C">
      <w:pPr>
        <w:pStyle w:val="BodyText"/>
      </w:pPr>
    </w:p>
    <w:p w14:paraId="5933D795" w14:textId="5F6DE5FA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TIF Projects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161C9059" w14:textId="71AC274A" w:rsidR="006F0C22" w:rsidRDefault="006F0C22" w:rsidP="006F0C22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Review Land Plan</w:t>
      </w:r>
    </w:p>
    <w:p w14:paraId="746C2981" w14:textId="495E74AD" w:rsidR="00527EF0" w:rsidRDefault="00527EF0" w:rsidP="006F0C22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Update on Eagles Basin Option Agreement</w:t>
      </w:r>
    </w:p>
    <w:p w14:paraId="12CB427A" w14:textId="77777777" w:rsidR="0066682C" w:rsidRDefault="0066682C">
      <w:pPr>
        <w:rPr>
          <w:sz w:val="24"/>
        </w:rPr>
      </w:pPr>
    </w:p>
    <w:p w14:paraId="34E243CD" w14:textId="2115E138" w:rsidR="006F0C22" w:rsidRDefault="006F0C22">
      <w:pPr>
        <w:rPr>
          <w:sz w:val="24"/>
        </w:rPr>
        <w:sectPr w:rsidR="006F0C22" w:rsidSect="004A0A10">
          <w:type w:val="continuous"/>
          <w:pgSz w:w="12240" w:h="15840" w:code="1"/>
          <w:pgMar w:top="418" w:right="1699" w:bottom="288" w:left="936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</w:p>
    <w:p w14:paraId="674FCCB0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spacing w:before="72"/>
        <w:rPr>
          <w:sz w:val="24"/>
        </w:rPr>
      </w:pPr>
      <w:r>
        <w:rPr>
          <w:sz w:val="24"/>
        </w:rPr>
        <w:lastRenderedPageBreak/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</w:p>
    <w:p w14:paraId="7B6C6522" w14:textId="77777777" w:rsidR="0066682C" w:rsidRDefault="0066682C">
      <w:pPr>
        <w:pStyle w:val="BodyText"/>
      </w:pPr>
    </w:p>
    <w:p w14:paraId="0870CA75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7BBC47B2" w14:textId="77777777" w:rsidR="0066682C" w:rsidRDefault="0066682C">
      <w:pPr>
        <w:pStyle w:val="BodyText"/>
      </w:pPr>
    </w:p>
    <w:p w14:paraId="01176643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Dodge County</w:t>
      </w:r>
      <w:r>
        <w:rPr>
          <w:spacing w:val="-11"/>
          <w:sz w:val="24"/>
        </w:rPr>
        <w:t xml:space="preserve"> </w:t>
      </w:r>
      <w:r>
        <w:rPr>
          <w:sz w:val="24"/>
        </w:rPr>
        <w:t>Update</w:t>
      </w:r>
    </w:p>
    <w:p w14:paraId="79BACFB5" w14:textId="77777777" w:rsidR="0066682C" w:rsidRDefault="0066682C">
      <w:pPr>
        <w:pStyle w:val="BodyText"/>
      </w:pPr>
    </w:p>
    <w:p w14:paraId="0EBF5BE1" w14:textId="5452D2C2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Board Position</w:t>
      </w:r>
      <w:r>
        <w:rPr>
          <w:spacing w:val="-14"/>
          <w:sz w:val="24"/>
        </w:rPr>
        <w:t xml:space="preserve"> </w:t>
      </w:r>
      <w:r>
        <w:rPr>
          <w:sz w:val="24"/>
        </w:rPr>
        <w:t>Update</w:t>
      </w:r>
    </w:p>
    <w:p w14:paraId="75136B2F" w14:textId="68409F80" w:rsidR="006F0C22" w:rsidRPr="006F0C22" w:rsidRDefault="006F0C22" w:rsidP="006F0C22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Election of Officers in September</w:t>
      </w:r>
    </w:p>
    <w:p w14:paraId="086C2FBA" w14:textId="5C73975C" w:rsidR="006F0C22" w:rsidRDefault="006F0C22" w:rsidP="006F0C22">
      <w:pPr>
        <w:pStyle w:val="ListParagraph"/>
        <w:tabs>
          <w:tab w:val="left" w:pos="1264"/>
        </w:tabs>
        <w:ind w:firstLine="0"/>
        <w:rPr>
          <w:sz w:val="24"/>
        </w:rPr>
      </w:pPr>
      <w:r>
        <w:rPr>
          <w:sz w:val="24"/>
        </w:rPr>
        <w:tab/>
      </w:r>
    </w:p>
    <w:p w14:paraId="06B3F7DC" w14:textId="47AEE6DD" w:rsidR="0066682C" w:rsidRDefault="004A0A10" w:rsidP="00527EF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New</w:t>
      </w:r>
      <w:r>
        <w:rPr>
          <w:spacing w:val="-3"/>
        </w:rPr>
        <w:t xml:space="preserve"> </w:t>
      </w:r>
      <w:r>
        <w:t>Business</w:t>
      </w:r>
    </w:p>
    <w:p w14:paraId="41385683" w14:textId="70ADD10D" w:rsidR="0066682C" w:rsidRDefault="00BE4E01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Public Housing </w:t>
      </w:r>
      <w:r w:rsidR="006F0C22">
        <w:rPr>
          <w:sz w:val="24"/>
        </w:rPr>
        <w:t xml:space="preserve">Section 18 </w:t>
      </w:r>
      <w:r>
        <w:rPr>
          <w:sz w:val="24"/>
        </w:rPr>
        <w:t xml:space="preserve">approval </w:t>
      </w:r>
      <w:r w:rsidR="006F0C22">
        <w:rPr>
          <w:sz w:val="24"/>
        </w:rPr>
        <w:t xml:space="preserve">to create </w:t>
      </w:r>
      <w:r>
        <w:rPr>
          <w:sz w:val="24"/>
        </w:rPr>
        <w:t>SEMMCHRA Affordable Housing, LLC</w:t>
      </w:r>
      <w:r w:rsidR="00896273">
        <w:rPr>
          <w:sz w:val="24"/>
        </w:rPr>
        <w:t xml:space="preserve"> (R)</w:t>
      </w:r>
      <w:r w:rsidR="00896273">
        <w:rPr>
          <w:sz w:val="24"/>
        </w:rPr>
        <w:tab/>
      </w:r>
    </w:p>
    <w:p w14:paraId="42F30391" w14:textId="77777777" w:rsidR="00BC6CA1" w:rsidRPr="00BC6CA1" w:rsidRDefault="00BC6CA1" w:rsidP="00BC6CA1">
      <w:pPr>
        <w:pStyle w:val="ListParagraph"/>
        <w:rPr>
          <w:sz w:val="24"/>
        </w:rPr>
      </w:pPr>
    </w:p>
    <w:p w14:paraId="5DA22FBE" w14:textId="4526F696" w:rsidR="00BC6CA1" w:rsidRDefault="00E02DF8" w:rsidP="00BC6CA1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 w:rsidRPr="00E02DF8">
        <w:rPr>
          <w:sz w:val="24"/>
        </w:rPr>
        <w:t xml:space="preserve">Sandstone Property approval of Executive Director to move </w:t>
      </w:r>
      <w:r w:rsidR="00BC6CA1" w:rsidRPr="00E02DF8">
        <w:rPr>
          <w:sz w:val="24"/>
        </w:rPr>
        <w:t xml:space="preserve">forward with obtaining Quiet </w:t>
      </w:r>
      <w:r>
        <w:rPr>
          <w:sz w:val="24"/>
        </w:rPr>
        <w:t xml:space="preserve">Title. (R) </w:t>
      </w:r>
    </w:p>
    <w:p w14:paraId="4F263258" w14:textId="77777777" w:rsidR="00E02DF8" w:rsidRPr="00E02DF8" w:rsidRDefault="00E02DF8" w:rsidP="00E02DF8">
      <w:pPr>
        <w:pStyle w:val="ListParagraph"/>
        <w:rPr>
          <w:sz w:val="24"/>
        </w:rPr>
      </w:pPr>
    </w:p>
    <w:p w14:paraId="0D2B9FE8" w14:textId="6BCA0A55" w:rsidR="00BC6CA1" w:rsidRDefault="00BC6CA1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Remove Kristen Herrick as a</w:t>
      </w:r>
      <w:r w:rsidR="00BE4E01">
        <w:rPr>
          <w:sz w:val="24"/>
        </w:rPr>
        <w:t xml:space="preserve"> Bank</w:t>
      </w:r>
      <w:r>
        <w:rPr>
          <w:sz w:val="24"/>
        </w:rPr>
        <w:t xml:space="preserve"> </w:t>
      </w:r>
      <w:r w:rsidR="00896273">
        <w:rPr>
          <w:sz w:val="24"/>
        </w:rPr>
        <w:t>S</w:t>
      </w:r>
      <w:r>
        <w:rPr>
          <w:sz w:val="24"/>
        </w:rPr>
        <w:t>igner as of August 28</w:t>
      </w:r>
      <w:r w:rsidRPr="00896273">
        <w:rPr>
          <w:sz w:val="24"/>
          <w:vertAlign w:val="superscript"/>
        </w:rPr>
        <w:t>th</w:t>
      </w:r>
      <w:r w:rsidR="00896273">
        <w:rPr>
          <w:sz w:val="24"/>
        </w:rPr>
        <w:t xml:space="preserve"> </w:t>
      </w:r>
      <w:r w:rsidR="00527EF0">
        <w:rPr>
          <w:sz w:val="24"/>
        </w:rPr>
        <w:t>for SEMMCHRA,</w:t>
      </w:r>
      <w:r w:rsidR="00B530AA">
        <w:rPr>
          <w:sz w:val="24"/>
        </w:rPr>
        <w:t xml:space="preserve"> Lake Pepin Plaza, LLC, and </w:t>
      </w:r>
      <w:r w:rsidR="00527EF0">
        <w:rPr>
          <w:sz w:val="24"/>
        </w:rPr>
        <w:t>O.B. Partnership (R)</w:t>
      </w:r>
    </w:p>
    <w:p w14:paraId="14217234" w14:textId="77777777" w:rsidR="00E02DF8" w:rsidRPr="00E02DF8" w:rsidRDefault="00E02DF8" w:rsidP="00E02DF8">
      <w:pPr>
        <w:pStyle w:val="ListParagraph"/>
        <w:rPr>
          <w:sz w:val="24"/>
        </w:rPr>
      </w:pPr>
    </w:p>
    <w:p w14:paraId="21354840" w14:textId="26336605" w:rsidR="00E02DF8" w:rsidRDefault="00E02DF8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Lake Pepin Plaza, LLC</w:t>
      </w:r>
    </w:p>
    <w:p w14:paraId="1CDD8438" w14:textId="7B35FDD1" w:rsidR="00E02DF8" w:rsidRDefault="00E02DF8" w:rsidP="00E02DF8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Adjourn SEMMCHRA Meeting</w:t>
      </w:r>
    </w:p>
    <w:p w14:paraId="61573D39" w14:textId="7C27488A" w:rsidR="00E02DF8" w:rsidRDefault="00E02DF8" w:rsidP="00E02DF8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Open Lake Pepin Plaza, LLC Meeting</w:t>
      </w:r>
    </w:p>
    <w:p w14:paraId="60C55455" w14:textId="294ED13C" w:rsidR="00E02DF8" w:rsidRDefault="00E02DF8" w:rsidP="00E02DF8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Lake Pepin Plaza, LLC Treasurer named to Position (M)</w:t>
      </w:r>
    </w:p>
    <w:p w14:paraId="67CFD6DF" w14:textId="0A16D750" w:rsidR="00E02DF8" w:rsidRDefault="00E02DF8" w:rsidP="00E02DF8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Adjourn Lake Pepin Plaza, LLC Meeting</w:t>
      </w:r>
    </w:p>
    <w:p w14:paraId="295BC425" w14:textId="77777777" w:rsidR="0066682C" w:rsidRDefault="0066682C">
      <w:pPr>
        <w:pStyle w:val="BodyText"/>
      </w:pPr>
    </w:p>
    <w:p w14:paraId="40809024" w14:textId="77777777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Adjourn.</w:t>
      </w:r>
    </w:p>
    <w:sectPr w:rsidR="0066682C">
      <w:pgSz w:w="12240" w:h="15840"/>
      <w:pgMar w:top="1080" w:right="1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B2AAC770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91B6A0DC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93B891F6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114E2CEA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9C92FD06">
      <w:numFmt w:val="bullet"/>
      <w:lvlText w:val="•"/>
      <w:lvlJc w:val="left"/>
      <w:pPr>
        <w:ind w:left="7785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2C"/>
    <w:rsid w:val="000F350A"/>
    <w:rsid w:val="001F3C56"/>
    <w:rsid w:val="003E0543"/>
    <w:rsid w:val="0041718E"/>
    <w:rsid w:val="004A0A10"/>
    <w:rsid w:val="00527EF0"/>
    <w:rsid w:val="0066682C"/>
    <w:rsid w:val="006E5471"/>
    <w:rsid w:val="006F0C22"/>
    <w:rsid w:val="00896273"/>
    <w:rsid w:val="008C58EE"/>
    <w:rsid w:val="008F01F2"/>
    <w:rsid w:val="00AA2CAA"/>
    <w:rsid w:val="00B530AA"/>
    <w:rsid w:val="00BC6CA1"/>
    <w:rsid w:val="00BE4E01"/>
    <w:rsid w:val="00E02DF8"/>
    <w:rsid w:val="00E05EC5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E4B8"/>
  <w15:docId w15:val="{C3BE7BF1-92AE-4E01-BD73-EABCF63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03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3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mchr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July 2019 Agenda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July 2019 Agenda</dc:title>
  <dc:creator>karend</dc:creator>
  <cp:lastModifiedBy>Karen DuCharme</cp:lastModifiedBy>
  <cp:revision>16</cp:revision>
  <cp:lastPrinted>2019-08-16T16:38:00Z</cp:lastPrinted>
  <dcterms:created xsi:type="dcterms:W3CDTF">2019-08-15T13:27:00Z</dcterms:created>
  <dcterms:modified xsi:type="dcterms:W3CDTF">2019-08-16T19:55:00Z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2019-08-06T00:00:00Z</vt:filetime>
  </property>
</Properties>
</file>